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880E" w14:textId="77777777" w:rsidR="00A10C7C" w:rsidRPr="00A10C7C" w:rsidRDefault="00A10C7C" w:rsidP="00A10C7C">
      <w:pPr>
        <w:shd w:val="clear" w:color="auto" w:fill="FFFFFF"/>
        <w:spacing w:after="0" w:line="240" w:lineRule="auto"/>
        <w:outlineLvl w:val="0"/>
        <w:rPr>
          <w:rFonts w:ascii="Lato" w:eastAsia="Times New Roman" w:hAnsi="Lato" w:cs="Times New Roman"/>
          <w:color w:val="CC3300"/>
          <w:kern w:val="36"/>
          <w:sz w:val="36"/>
          <w:szCs w:val="36"/>
          <w:lang w:eastAsia="fr-BE"/>
        </w:rPr>
      </w:pPr>
      <w:r w:rsidRPr="00A10C7C">
        <w:rPr>
          <w:rFonts w:ascii="Lato" w:eastAsia="Times New Roman" w:hAnsi="Lato" w:cs="Times New Roman"/>
          <w:color w:val="CC3300"/>
          <w:kern w:val="36"/>
          <w:sz w:val="36"/>
          <w:szCs w:val="36"/>
          <w:lang w:eastAsia="fr-BE"/>
        </w:rPr>
        <w:t>La prudence de mise en ce début d’année</w:t>
      </w:r>
    </w:p>
    <w:p w14:paraId="1F8C5D11" w14:textId="77777777" w:rsidR="00A10C7C" w:rsidRDefault="00A10C7C" w:rsidP="00A10C7C">
      <w:pPr>
        <w:shd w:val="clear" w:color="auto" w:fill="FFFFFF"/>
        <w:spacing w:before="75" w:after="75" w:line="240" w:lineRule="auto"/>
        <w:jc w:val="both"/>
        <w:rPr>
          <w:rFonts w:ascii="Lato" w:eastAsia="Times New Roman" w:hAnsi="Lato" w:cs="Times New Roman"/>
          <w:color w:val="3E001F"/>
          <w:sz w:val="30"/>
          <w:szCs w:val="30"/>
          <w:lang w:eastAsia="fr-BE"/>
        </w:rPr>
      </w:pPr>
    </w:p>
    <w:p w14:paraId="421B83BA" w14:textId="0D334255"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b/>
          <w:bCs/>
          <w:color w:val="000000"/>
          <w:sz w:val="23"/>
          <w:szCs w:val="23"/>
          <w:lang w:eastAsia="fr-BE"/>
        </w:rPr>
        <w:t>La prudence est de mise sur tous les marchés de métaux européens, à l’aube d’une nouvelle année marquée par de nombreuses incertitudes.</w:t>
      </w:r>
    </w:p>
    <w:p w14:paraId="34995821"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 </w:t>
      </w:r>
    </w:p>
    <w:p w14:paraId="79D6B07E"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b/>
          <w:bCs/>
          <w:color w:val="A52A2A"/>
          <w:sz w:val="23"/>
          <w:szCs w:val="23"/>
          <w:lang w:eastAsia="fr-BE"/>
        </w:rPr>
        <w:t>Aluminium : une volatilité inédite en 2022</w:t>
      </w:r>
    </w:p>
    <w:p w14:paraId="3C3DCF0E"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Les primes nouées sur les </w:t>
      </w:r>
      <w:r w:rsidRPr="00A10C7C">
        <w:rPr>
          <w:rFonts w:ascii="Lato" w:eastAsia="Times New Roman" w:hAnsi="Lato" w:cs="Times New Roman"/>
          <w:color w:val="000000"/>
          <w:sz w:val="23"/>
          <w:szCs w:val="23"/>
          <w:u w:val="single"/>
          <w:lang w:eastAsia="fr-BE"/>
        </w:rPr>
        <w:t>lingots d’aluminium</w:t>
      </w:r>
      <w:r w:rsidRPr="00A10C7C">
        <w:rPr>
          <w:rFonts w:ascii="Lato" w:eastAsia="Times New Roman" w:hAnsi="Lato" w:cs="Times New Roman"/>
          <w:color w:val="000000"/>
          <w:sz w:val="23"/>
          <w:szCs w:val="23"/>
          <w:lang w:eastAsia="fr-BE"/>
        </w:rPr>
        <w:t> de première fusion, au départ des entrepôts de </w:t>
      </w:r>
      <w:r w:rsidRPr="00A10C7C">
        <w:rPr>
          <w:rFonts w:ascii="Lato" w:eastAsia="Times New Roman" w:hAnsi="Lato" w:cs="Times New Roman"/>
          <w:b/>
          <w:bCs/>
          <w:color w:val="000000"/>
          <w:sz w:val="23"/>
          <w:szCs w:val="23"/>
          <w:lang w:eastAsia="fr-BE"/>
        </w:rPr>
        <w:t>Rotterdam</w:t>
      </w:r>
      <w:r w:rsidRPr="00A10C7C">
        <w:rPr>
          <w:rFonts w:ascii="Lato" w:eastAsia="Times New Roman" w:hAnsi="Lato" w:cs="Times New Roman"/>
          <w:color w:val="000000"/>
          <w:sz w:val="23"/>
          <w:szCs w:val="23"/>
          <w:lang w:eastAsia="fr-BE"/>
        </w:rPr>
        <w:t>, ont enregistré une volatilité inédite en 2022. D’aucuns estiment que cette évolution pourrait être la «</w:t>
      </w:r>
      <w:r w:rsidRPr="00A10C7C">
        <w:rPr>
          <w:rFonts w:ascii="Lato" w:eastAsia="Times New Roman" w:hAnsi="Lato" w:cs="Times New Roman"/>
          <w:i/>
          <w:iCs/>
          <w:color w:val="000000"/>
          <w:sz w:val="23"/>
          <w:szCs w:val="23"/>
          <w:lang w:eastAsia="fr-BE"/>
        </w:rPr>
        <w:t> nouvelle normalité</w:t>
      </w:r>
      <w:r w:rsidRPr="00A10C7C">
        <w:rPr>
          <w:rFonts w:ascii="Lato" w:eastAsia="Times New Roman" w:hAnsi="Lato" w:cs="Times New Roman"/>
          <w:color w:val="000000"/>
          <w:sz w:val="23"/>
          <w:szCs w:val="23"/>
          <w:lang w:eastAsia="fr-BE"/>
        </w:rPr>
        <w:t> ». Les primes ont progressé jusqu’à atteindre un pic en avril, à partir duquel elles n’ont, par la suite, pas cessé de reculer, allant jusqu’à abandonner plus de 50%. «</w:t>
      </w:r>
      <w:r w:rsidRPr="00A10C7C">
        <w:rPr>
          <w:rFonts w:ascii="Lato" w:eastAsia="Times New Roman" w:hAnsi="Lato" w:cs="Times New Roman"/>
          <w:i/>
          <w:iCs/>
          <w:color w:val="000000"/>
          <w:sz w:val="23"/>
          <w:szCs w:val="23"/>
          <w:lang w:eastAsia="fr-BE"/>
        </w:rPr>
        <w:t> La volatilité est là pour durer ; les incertitudes sont tellement nombreuses ; et le contexte peut être radicalement différent demain</w:t>
      </w:r>
      <w:r w:rsidRPr="00A10C7C">
        <w:rPr>
          <w:rFonts w:ascii="Lato" w:eastAsia="Times New Roman" w:hAnsi="Lato" w:cs="Times New Roman"/>
          <w:color w:val="000000"/>
          <w:sz w:val="23"/>
          <w:szCs w:val="23"/>
          <w:lang w:eastAsia="fr-BE"/>
        </w:rPr>
        <w:t> », commente un trader.</w:t>
      </w:r>
    </w:p>
    <w:p w14:paraId="2A3D1A8A"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Depuis la pandémie de Covid-19, les carnets de commandes sont plus minces. Et la hausse des coûts de crédits empêche les acteurs du marché de détenir des stocks trop volumineux. En outre, la dépendance du Vieux Continent vis-à-vis des importations - qui découle des fermetures de capacités liées à la crise énergétique - contribue à renforcer la volatilité. Aucune fonderie ayant fermé des capacités l’an dernier ne les a redémarrées depuis. En avril 2022, les primes sur les </w:t>
      </w:r>
      <w:r w:rsidRPr="00A10C7C">
        <w:rPr>
          <w:rFonts w:ascii="Lato" w:eastAsia="Times New Roman" w:hAnsi="Lato" w:cs="Times New Roman"/>
          <w:color w:val="000000"/>
          <w:sz w:val="23"/>
          <w:szCs w:val="23"/>
          <w:u w:val="single"/>
          <w:lang w:eastAsia="fr-BE"/>
        </w:rPr>
        <w:t>lingots dédouanés</w:t>
      </w:r>
      <w:r w:rsidRPr="00A10C7C">
        <w:rPr>
          <w:rFonts w:ascii="Lato" w:eastAsia="Times New Roman" w:hAnsi="Lato" w:cs="Times New Roman"/>
          <w:color w:val="000000"/>
          <w:sz w:val="23"/>
          <w:szCs w:val="23"/>
          <w:lang w:eastAsia="fr-BE"/>
        </w:rPr>
        <w:t> ont culminé à 600-630 $/t, portées par des tensions sur les disponibilités, auxquelles sont venues s’ajouter des perturbations logistiques. Les délais de livraison des lingots depuis les entrepôts asiatiques ont rallongé fin 2022. Au cours du second semestre 2022, les primes ont cédé 60% depuis leur pic d’avril, pour tomber à 230-260 $/t. Elles se sont stabilisées en fin d’année et repartent actuellement à la hausse : au 6 janvier, elles inscrivent une progression de 5 $ à la fourchette basse, à 255-270 $/t. Les offres sont faites à la hausse. « </w:t>
      </w:r>
      <w:r w:rsidRPr="00A10C7C">
        <w:rPr>
          <w:rFonts w:ascii="Lato" w:eastAsia="Times New Roman" w:hAnsi="Lato" w:cs="Times New Roman"/>
          <w:i/>
          <w:iCs/>
          <w:color w:val="000000"/>
          <w:sz w:val="23"/>
          <w:szCs w:val="23"/>
          <w:lang w:eastAsia="fr-BE"/>
        </w:rPr>
        <w:t>Pas sûr que ce soit encore possible de trouver des offres inférieures. Les opérations de déstockage ont eu lieu et seuls quelques opérateurs sont à la vente, de surcroît avec des stocks limités</w:t>
      </w:r>
      <w:r w:rsidRPr="00A10C7C">
        <w:rPr>
          <w:rFonts w:ascii="Lato" w:eastAsia="Times New Roman" w:hAnsi="Lato" w:cs="Times New Roman"/>
          <w:color w:val="000000"/>
          <w:sz w:val="23"/>
          <w:szCs w:val="23"/>
          <w:lang w:eastAsia="fr-BE"/>
        </w:rPr>
        <w:t> », commente un trader. Les stocks du LME ont reculé de 52% sur un an, à 450.300 tonnes. Les primes sur les </w:t>
      </w:r>
      <w:r w:rsidRPr="00A10C7C">
        <w:rPr>
          <w:rFonts w:ascii="Lato" w:eastAsia="Times New Roman" w:hAnsi="Lato" w:cs="Times New Roman"/>
          <w:color w:val="000000"/>
          <w:sz w:val="23"/>
          <w:szCs w:val="23"/>
          <w:u w:val="single"/>
          <w:lang w:eastAsia="fr-BE"/>
        </w:rPr>
        <w:t>lingots non dédouanés</w:t>
      </w:r>
      <w:r w:rsidRPr="00A10C7C">
        <w:rPr>
          <w:rFonts w:ascii="Lato" w:eastAsia="Times New Roman" w:hAnsi="Lato" w:cs="Times New Roman"/>
          <w:color w:val="000000"/>
          <w:sz w:val="23"/>
          <w:szCs w:val="23"/>
          <w:lang w:eastAsia="fr-BE"/>
        </w:rPr>
        <w:t> sont stables à 200-210 $/t, au départ des entrepôts de </w:t>
      </w:r>
      <w:r w:rsidRPr="00A10C7C">
        <w:rPr>
          <w:rFonts w:ascii="Lato" w:eastAsia="Times New Roman" w:hAnsi="Lato" w:cs="Times New Roman"/>
          <w:b/>
          <w:bCs/>
          <w:color w:val="000000"/>
          <w:sz w:val="23"/>
          <w:szCs w:val="23"/>
          <w:lang w:eastAsia="fr-BE"/>
        </w:rPr>
        <w:t>Rotterdam</w:t>
      </w:r>
      <w:r w:rsidRPr="00A10C7C">
        <w:rPr>
          <w:rFonts w:ascii="Lato" w:eastAsia="Times New Roman" w:hAnsi="Lato" w:cs="Times New Roman"/>
          <w:color w:val="000000"/>
          <w:sz w:val="23"/>
          <w:szCs w:val="23"/>
          <w:lang w:eastAsia="fr-BE"/>
        </w:rPr>
        <w:t>, tout comme celles nouées sur les lingots dédouanés livrés en </w:t>
      </w:r>
      <w:r w:rsidRPr="00A10C7C">
        <w:rPr>
          <w:rFonts w:ascii="Lato" w:eastAsia="Times New Roman" w:hAnsi="Lato" w:cs="Times New Roman"/>
          <w:b/>
          <w:bCs/>
          <w:color w:val="000000"/>
          <w:sz w:val="23"/>
          <w:szCs w:val="23"/>
          <w:lang w:eastAsia="fr-BE"/>
        </w:rPr>
        <w:t>Italie</w:t>
      </w:r>
      <w:r w:rsidRPr="00A10C7C">
        <w:rPr>
          <w:rFonts w:ascii="Lato" w:eastAsia="Times New Roman" w:hAnsi="Lato" w:cs="Times New Roman"/>
          <w:color w:val="000000"/>
          <w:sz w:val="23"/>
          <w:szCs w:val="23"/>
          <w:lang w:eastAsia="fr-BE"/>
        </w:rPr>
        <w:t>, à 270-290 $/t.</w:t>
      </w:r>
    </w:p>
    <w:p w14:paraId="052FDA6E"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i/>
          <w:iCs/>
          <w:color w:val="000000"/>
          <w:sz w:val="23"/>
          <w:szCs w:val="23"/>
          <w:lang w:eastAsia="fr-BE"/>
        </w:rPr>
        <w:t>Idem </w:t>
      </w:r>
      <w:r w:rsidRPr="00A10C7C">
        <w:rPr>
          <w:rFonts w:ascii="Lato" w:eastAsia="Times New Roman" w:hAnsi="Lato" w:cs="Times New Roman"/>
          <w:color w:val="000000"/>
          <w:sz w:val="23"/>
          <w:szCs w:val="23"/>
          <w:lang w:eastAsia="fr-BE"/>
        </w:rPr>
        <w:t>sur le marché des </w:t>
      </w:r>
      <w:r w:rsidRPr="00A10C7C">
        <w:rPr>
          <w:rFonts w:ascii="Lato" w:eastAsia="Times New Roman" w:hAnsi="Lato" w:cs="Times New Roman"/>
          <w:color w:val="000000"/>
          <w:sz w:val="23"/>
          <w:szCs w:val="23"/>
          <w:u w:val="single"/>
          <w:lang w:eastAsia="fr-BE"/>
        </w:rPr>
        <w:t>produits à haute valeur ajoutée</w:t>
      </w:r>
      <w:r w:rsidRPr="00A10C7C">
        <w:rPr>
          <w:rFonts w:ascii="Lato" w:eastAsia="Times New Roman" w:hAnsi="Lato" w:cs="Times New Roman"/>
          <w:color w:val="000000"/>
          <w:sz w:val="23"/>
          <w:szCs w:val="23"/>
          <w:lang w:eastAsia="fr-BE"/>
        </w:rPr>
        <w:t>. Les primes ont enregistré une forte volatilité en 2022 : les primes sur les </w:t>
      </w:r>
      <w:r w:rsidRPr="00A10C7C">
        <w:rPr>
          <w:rFonts w:ascii="Lato" w:eastAsia="Times New Roman" w:hAnsi="Lato" w:cs="Times New Roman"/>
          <w:color w:val="000000"/>
          <w:sz w:val="23"/>
          <w:szCs w:val="23"/>
          <w:u w:val="single"/>
          <w:lang w:eastAsia="fr-BE"/>
        </w:rPr>
        <w:t>billettes d’extrusion</w:t>
      </w:r>
      <w:r w:rsidRPr="00A10C7C">
        <w:rPr>
          <w:rFonts w:ascii="Lato" w:eastAsia="Times New Roman" w:hAnsi="Lato" w:cs="Times New Roman"/>
          <w:color w:val="000000"/>
          <w:sz w:val="23"/>
          <w:szCs w:val="23"/>
          <w:lang w:eastAsia="fr-BE"/>
        </w:rPr>
        <w:t> ont franchi le seuil psychologique de 1.000 $/t. La pandémie a fortement érodé la demande en billettes en 2021, entraînant un recul de la production au profit d’une augmentation de celle de lingots. La demande est repartie en hausse en 2022, mais avec des disponibilités en billettes restreintes, ce qui a eu pour effet de faire grimper les primes. A l’instar de celles nouées sur les billettes livrées dans la </w:t>
      </w:r>
      <w:proofErr w:type="spellStart"/>
      <w:r w:rsidRPr="00A10C7C">
        <w:rPr>
          <w:rFonts w:ascii="Lato" w:eastAsia="Times New Roman" w:hAnsi="Lato" w:cs="Times New Roman"/>
          <w:b/>
          <w:bCs/>
          <w:color w:val="000000"/>
          <w:sz w:val="23"/>
          <w:szCs w:val="23"/>
          <w:lang w:eastAsia="fr-BE"/>
        </w:rPr>
        <w:t>Rhur</w:t>
      </w:r>
      <w:proofErr w:type="spellEnd"/>
      <w:r w:rsidRPr="00A10C7C">
        <w:rPr>
          <w:rFonts w:ascii="Lato" w:eastAsia="Times New Roman" w:hAnsi="Lato" w:cs="Times New Roman"/>
          <w:b/>
          <w:bCs/>
          <w:color w:val="000000"/>
          <w:sz w:val="23"/>
          <w:szCs w:val="23"/>
          <w:lang w:eastAsia="fr-BE"/>
        </w:rPr>
        <w:t> </w:t>
      </w:r>
      <w:r w:rsidRPr="00A10C7C">
        <w:rPr>
          <w:rFonts w:ascii="Lato" w:eastAsia="Times New Roman" w:hAnsi="Lato" w:cs="Times New Roman"/>
          <w:color w:val="000000"/>
          <w:sz w:val="23"/>
          <w:szCs w:val="23"/>
          <w:lang w:eastAsia="fr-BE"/>
        </w:rPr>
        <w:t>en </w:t>
      </w:r>
      <w:r w:rsidRPr="00A10C7C">
        <w:rPr>
          <w:rFonts w:ascii="Lato" w:eastAsia="Times New Roman" w:hAnsi="Lato" w:cs="Times New Roman"/>
          <w:b/>
          <w:bCs/>
          <w:color w:val="000000"/>
          <w:sz w:val="23"/>
          <w:szCs w:val="23"/>
          <w:lang w:eastAsia="fr-BE"/>
        </w:rPr>
        <w:t>Allemagne </w:t>
      </w:r>
      <w:r w:rsidRPr="00A10C7C">
        <w:rPr>
          <w:rFonts w:ascii="Lato" w:eastAsia="Times New Roman" w:hAnsi="Lato" w:cs="Times New Roman"/>
          <w:color w:val="000000"/>
          <w:sz w:val="23"/>
          <w:szCs w:val="23"/>
          <w:lang w:eastAsia="fr-BE"/>
        </w:rPr>
        <w:t xml:space="preserve">: elles ont culminé à 1.500-1.600 $/t en mars 2022, ceci comparé à la fourchette de 595-640 $/t pratiquée un an auparavant. Ces derniers mois, elles étaient sous pression avec une baisse à la fois de la demande et de l’offre. Le marché a, là aussi, dû recourir aux billettes importées. Au dernier fixing, les primes sur les billettes livrées dans la </w:t>
      </w:r>
      <w:proofErr w:type="spellStart"/>
      <w:r w:rsidRPr="00A10C7C">
        <w:rPr>
          <w:rFonts w:ascii="Lato" w:eastAsia="Times New Roman" w:hAnsi="Lato" w:cs="Times New Roman"/>
          <w:color w:val="000000"/>
          <w:sz w:val="23"/>
          <w:szCs w:val="23"/>
          <w:lang w:eastAsia="fr-BE"/>
        </w:rPr>
        <w:t>Rhur</w:t>
      </w:r>
      <w:proofErr w:type="spellEnd"/>
      <w:r w:rsidRPr="00A10C7C">
        <w:rPr>
          <w:rFonts w:ascii="Lato" w:eastAsia="Times New Roman" w:hAnsi="Lato" w:cs="Times New Roman"/>
          <w:color w:val="000000"/>
          <w:sz w:val="23"/>
          <w:szCs w:val="23"/>
          <w:lang w:eastAsia="fr-BE"/>
        </w:rPr>
        <w:t xml:space="preserve"> se situent à 650-700 $/t, un niveau qui constitue une baisse de 54% depuis le sommet de mars. «</w:t>
      </w:r>
      <w:r w:rsidRPr="00A10C7C">
        <w:rPr>
          <w:rFonts w:ascii="Lato" w:eastAsia="Times New Roman" w:hAnsi="Lato" w:cs="Times New Roman"/>
          <w:i/>
          <w:iCs/>
          <w:color w:val="000000"/>
          <w:sz w:val="23"/>
          <w:szCs w:val="23"/>
          <w:lang w:eastAsia="fr-BE"/>
        </w:rPr>
        <w:t> L’Europe a été très attractive jusqu’à ce qu’elle soit inondée de billettes importées, ce qui a précipité les primes à la baisse</w:t>
      </w:r>
      <w:r w:rsidRPr="00A10C7C">
        <w:rPr>
          <w:rFonts w:ascii="Lato" w:eastAsia="Times New Roman" w:hAnsi="Lato" w:cs="Times New Roman"/>
          <w:color w:val="000000"/>
          <w:sz w:val="23"/>
          <w:szCs w:val="23"/>
          <w:lang w:eastAsia="fr-BE"/>
        </w:rPr>
        <w:t> », explique un producteur. Les producteurs ont été contraints de fermer des capacités de production de billettes au profit de lingots. La volatilité devrait perdurer sur ce marché également en raison des incertitudes entourant la demande - un manque de visibilité qui a éloigné les consommateurs du marché à termes et les a rapprochés du marché spot. « </w:t>
      </w:r>
      <w:r w:rsidRPr="00A10C7C">
        <w:rPr>
          <w:rFonts w:ascii="Lato" w:eastAsia="Times New Roman" w:hAnsi="Lato" w:cs="Times New Roman"/>
          <w:i/>
          <w:iCs/>
          <w:color w:val="000000"/>
          <w:sz w:val="23"/>
          <w:szCs w:val="23"/>
          <w:lang w:eastAsia="fr-BE"/>
        </w:rPr>
        <w:t>Si la demande venait à repartir, la situation pourrait rapidement devenir haussière</w:t>
      </w:r>
      <w:r w:rsidRPr="00A10C7C">
        <w:rPr>
          <w:rFonts w:ascii="Lato" w:eastAsia="Times New Roman" w:hAnsi="Lato" w:cs="Times New Roman"/>
          <w:color w:val="000000"/>
          <w:sz w:val="23"/>
          <w:szCs w:val="23"/>
          <w:lang w:eastAsia="fr-BE"/>
        </w:rPr>
        <w:t> », anticipe un autre trader.</w:t>
      </w:r>
    </w:p>
    <w:p w14:paraId="17DB6D94"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lastRenderedPageBreak/>
        <w:t> </w:t>
      </w:r>
    </w:p>
    <w:p w14:paraId="58078268"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b/>
          <w:bCs/>
          <w:color w:val="A52A2A"/>
          <w:sz w:val="23"/>
          <w:szCs w:val="23"/>
          <w:lang w:eastAsia="fr-BE"/>
        </w:rPr>
        <w:t>Zinc : prudence</w:t>
      </w:r>
    </w:p>
    <w:p w14:paraId="3322C01A"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Les opérateurs reprennent lentement leur activité après les congés de fin d’année. Dans ce contexte, les primes finalisées sur les </w:t>
      </w:r>
      <w:r w:rsidRPr="00A10C7C">
        <w:rPr>
          <w:rFonts w:ascii="Lato" w:eastAsia="Times New Roman" w:hAnsi="Lato" w:cs="Times New Roman"/>
          <w:color w:val="000000"/>
          <w:sz w:val="23"/>
          <w:szCs w:val="23"/>
          <w:u w:val="single"/>
          <w:lang w:eastAsia="fr-BE"/>
        </w:rPr>
        <w:t>lingots de zinc SHG</w:t>
      </w:r>
      <w:r w:rsidRPr="00A10C7C">
        <w:rPr>
          <w:rFonts w:ascii="Lato" w:eastAsia="Times New Roman" w:hAnsi="Lato" w:cs="Times New Roman"/>
          <w:color w:val="000000"/>
          <w:sz w:val="23"/>
          <w:szCs w:val="23"/>
          <w:lang w:eastAsia="fr-BE"/>
        </w:rPr>
        <w:t xml:space="preserve"> en Europe sont restées inchangées sur une semaine.  Ainsi, les primes </w:t>
      </w:r>
      <w:proofErr w:type="spellStart"/>
      <w:r w:rsidRPr="00A10C7C">
        <w:rPr>
          <w:rFonts w:ascii="Lato" w:eastAsia="Times New Roman" w:hAnsi="Lato" w:cs="Times New Roman"/>
          <w:color w:val="000000"/>
          <w:sz w:val="23"/>
          <w:szCs w:val="23"/>
          <w:lang w:eastAsia="fr-BE"/>
        </w:rPr>
        <w:t>fca</w:t>
      </w:r>
      <w:proofErr w:type="spellEnd"/>
      <w:r w:rsidRPr="00A10C7C">
        <w:rPr>
          <w:rFonts w:ascii="Lato" w:eastAsia="Times New Roman" w:hAnsi="Lato" w:cs="Times New Roman"/>
          <w:color w:val="000000"/>
          <w:sz w:val="23"/>
          <w:szCs w:val="23"/>
          <w:lang w:eastAsia="fr-BE"/>
        </w:rPr>
        <w:t> </w:t>
      </w:r>
      <w:r w:rsidRPr="00A10C7C">
        <w:rPr>
          <w:rFonts w:ascii="Lato" w:eastAsia="Times New Roman" w:hAnsi="Lato" w:cs="Times New Roman"/>
          <w:b/>
          <w:bCs/>
          <w:color w:val="000000"/>
          <w:sz w:val="23"/>
          <w:szCs w:val="23"/>
          <w:lang w:eastAsia="fr-BE"/>
        </w:rPr>
        <w:t>Anvers </w:t>
      </w:r>
      <w:r w:rsidRPr="00A10C7C">
        <w:rPr>
          <w:rFonts w:ascii="Lato" w:eastAsia="Times New Roman" w:hAnsi="Lato" w:cs="Times New Roman"/>
          <w:color w:val="000000"/>
          <w:sz w:val="23"/>
          <w:szCs w:val="23"/>
          <w:lang w:eastAsia="fr-BE"/>
        </w:rPr>
        <w:t>et </w:t>
      </w:r>
      <w:r w:rsidRPr="00A10C7C">
        <w:rPr>
          <w:rFonts w:ascii="Lato" w:eastAsia="Times New Roman" w:hAnsi="Lato" w:cs="Times New Roman"/>
          <w:b/>
          <w:bCs/>
          <w:color w:val="000000"/>
          <w:sz w:val="23"/>
          <w:szCs w:val="23"/>
          <w:lang w:eastAsia="fr-BE"/>
        </w:rPr>
        <w:t>Rotterdam</w:t>
      </w:r>
      <w:r w:rsidRPr="00A10C7C">
        <w:rPr>
          <w:rFonts w:ascii="Lato" w:eastAsia="Times New Roman" w:hAnsi="Lato" w:cs="Times New Roman"/>
          <w:color w:val="000000"/>
          <w:sz w:val="23"/>
          <w:szCs w:val="23"/>
          <w:lang w:eastAsia="fr-BE"/>
        </w:rPr>
        <w:t> demeurent à 500-530 $/t. Les opérateurs se montrent très prudents alors que l’année débute et que de nombreuses incertitudes existent concernant la demande et l’offre. « </w:t>
      </w:r>
      <w:r w:rsidRPr="00A10C7C">
        <w:rPr>
          <w:rFonts w:ascii="Lato" w:eastAsia="Times New Roman" w:hAnsi="Lato" w:cs="Times New Roman"/>
          <w:i/>
          <w:iCs/>
          <w:color w:val="000000"/>
          <w:sz w:val="23"/>
          <w:szCs w:val="23"/>
          <w:lang w:eastAsia="fr-BE"/>
        </w:rPr>
        <w:t>Ma seule certitude pour 2023 est l’incertitude </w:t>
      </w:r>
      <w:r w:rsidRPr="00A10C7C">
        <w:rPr>
          <w:rFonts w:ascii="Lato" w:eastAsia="Times New Roman" w:hAnsi="Lato" w:cs="Times New Roman"/>
          <w:color w:val="000000"/>
          <w:sz w:val="23"/>
          <w:szCs w:val="23"/>
          <w:lang w:eastAsia="fr-BE"/>
        </w:rPr>
        <w:t>», ironise un trader. « </w:t>
      </w:r>
      <w:r w:rsidRPr="00A10C7C">
        <w:rPr>
          <w:rFonts w:ascii="Lato" w:eastAsia="Times New Roman" w:hAnsi="Lato" w:cs="Times New Roman"/>
          <w:i/>
          <w:iCs/>
          <w:color w:val="000000"/>
          <w:sz w:val="23"/>
          <w:szCs w:val="23"/>
          <w:lang w:eastAsia="fr-BE"/>
        </w:rPr>
        <w:t>Les consommateurs sont très prudents aux achats</w:t>
      </w:r>
      <w:r w:rsidRPr="00A10C7C">
        <w:rPr>
          <w:rFonts w:ascii="Lato" w:eastAsia="Times New Roman" w:hAnsi="Lato" w:cs="Times New Roman"/>
          <w:color w:val="000000"/>
          <w:sz w:val="23"/>
          <w:szCs w:val="23"/>
          <w:lang w:eastAsia="fr-BE"/>
        </w:rPr>
        <w:t> », note le trader, qui souligne que les effets de cette prudence pourraient être atténués par les tensions sur les disponibilités en lingots si la demande chinoise venait à repartir. «</w:t>
      </w:r>
      <w:r w:rsidRPr="00A10C7C">
        <w:rPr>
          <w:rFonts w:ascii="Lato" w:eastAsia="Times New Roman" w:hAnsi="Lato" w:cs="Times New Roman"/>
          <w:i/>
          <w:iCs/>
          <w:color w:val="000000"/>
          <w:sz w:val="23"/>
          <w:szCs w:val="23"/>
          <w:lang w:eastAsia="fr-BE"/>
        </w:rPr>
        <w:t> Les importations vers l’Europe sont significatives, mais si la demande chinoise repart, elles diminueront</w:t>
      </w:r>
      <w:r w:rsidRPr="00A10C7C">
        <w:rPr>
          <w:rFonts w:ascii="Lato" w:eastAsia="Times New Roman" w:hAnsi="Lato" w:cs="Times New Roman"/>
          <w:color w:val="000000"/>
          <w:sz w:val="23"/>
          <w:szCs w:val="23"/>
          <w:lang w:eastAsia="fr-BE"/>
        </w:rPr>
        <w:t> », suggère-t-il. La faiblesse de la demande en Chine a entraîné une nette augmentation des importations vers l’Europe, de la part de pays tels que l’</w:t>
      </w:r>
      <w:r w:rsidRPr="00A10C7C">
        <w:rPr>
          <w:rFonts w:ascii="Lato" w:eastAsia="Times New Roman" w:hAnsi="Lato" w:cs="Times New Roman"/>
          <w:b/>
          <w:bCs/>
          <w:color w:val="000000"/>
          <w:sz w:val="23"/>
          <w:szCs w:val="23"/>
          <w:lang w:eastAsia="fr-BE"/>
        </w:rPr>
        <w:t>Inde</w:t>
      </w:r>
      <w:r w:rsidRPr="00A10C7C">
        <w:rPr>
          <w:rFonts w:ascii="Lato" w:eastAsia="Times New Roman" w:hAnsi="Lato" w:cs="Times New Roman"/>
          <w:color w:val="000000"/>
          <w:sz w:val="23"/>
          <w:szCs w:val="23"/>
          <w:lang w:eastAsia="fr-BE"/>
        </w:rPr>
        <w:t> et la </w:t>
      </w:r>
      <w:r w:rsidRPr="00A10C7C">
        <w:rPr>
          <w:rFonts w:ascii="Lato" w:eastAsia="Times New Roman" w:hAnsi="Lato" w:cs="Times New Roman"/>
          <w:b/>
          <w:bCs/>
          <w:color w:val="000000"/>
          <w:sz w:val="23"/>
          <w:szCs w:val="23"/>
          <w:lang w:eastAsia="fr-BE"/>
        </w:rPr>
        <w:t>Corée du Sud</w:t>
      </w:r>
      <w:r w:rsidRPr="00A10C7C">
        <w:rPr>
          <w:rFonts w:ascii="Lato" w:eastAsia="Times New Roman" w:hAnsi="Lato" w:cs="Times New Roman"/>
          <w:color w:val="000000"/>
          <w:sz w:val="23"/>
          <w:szCs w:val="23"/>
          <w:lang w:eastAsia="fr-BE"/>
        </w:rPr>
        <w:t>. La levée de la politique chinoise zéro-Covid laisse augurer d’une progression de la demande. « </w:t>
      </w:r>
      <w:r w:rsidRPr="00A10C7C">
        <w:rPr>
          <w:rFonts w:ascii="Lato" w:eastAsia="Times New Roman" w:hAnsi="Lato" w:cs="Times New Roman"/>
          <w:i/>
          <w:iCs/>
          <w:color w:val="000000"/>
          <w:sz w:val="23"/>
          <w:szCs w:val="23"/>
          <w:lang w:eastAsia="fr-BE"/>
        </w:rPr>
        <w:t>Les primes devraient rester relativement élevées cette année</w:t>
      </w:r>
      <w:r w:rsidRPr="00A10C7C">
        <w:rPr>
          <w:rFonts w:ascii="Lato" w:eastAsia="Times New Roman" w:hAnsi="Lato" w:cs="Times New Roman"/>
          <w:color w:val="000000"/>
          <w:sz w:val="23"/>
          <w:szCs w:val="23"/>
          <w:lang w:eastAsia="fr-BE"/>
        </w:rPr>
        <w:t> », prévoit un autre trader, arguant que « </w:t>
      </w:r>
      <w:r w:rsidRPr="00A10C7C">
        <w:rPr>
          <w:rFonts w:ascii="Lato" w:eastAsia="Times New Roman" w:hAnsi="Lato" w:cs="Times New Roman"/>
          <w:i/>
          <w:iCs/>
          <w:color w:val="000000"/>
          <w:sz w:val="23"/>
          <w:szCs w:val="23"/>
          <w:lang w:eastAsia="fr-BE"/>
        </w:rPr>
        <w:t>les fondamentaux sont inchangés</w:t>
      </w:r>
      <w:r w:rsidRPr="00A10C7C">
        <w:rPr>
          <w:rFonts w:ascii="Lato" w:eastAsia="Times New Roman" w:hAnsi="Lato" w:cs="Times New Roman"/>
          <w:color w:val="000000"/>
          <w:sz w:val="23"/>
          <w:szCs w:val="23"/>
          <w:lang w:eastAsia="fr-BE"/>
        </w:rPr>
        <w:t> ».</w:t>
      </w:r>
    </w:p>
    <w:p w14:paraId="573063A2"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 </w:t>
      </w:r>
    </w:p>
    <w:p w14:paraId="766B34E9"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b/>
          <w:bCs/>
          <w:color w:val="A52A2A"/>
          <w:sz w:val="23"/>
          <w:szCs w:val="23"/>
          <w:lang w:eastAsia="fr-BE"/>
        </w:rPr>
        <w:t>Nickel : stable</w:t>
      </w:r>
    </w:p>
    <w:p w14:paraId="09D9C08A"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Les liquidités restent ténues en cette reprise d’activité. Sur le marché spot européen du </w:t>
      </w:r>
      <w:r w:rsidRPr="00A10C7C">
        <w:rPr>
          <w:rFonts w:ascii="Lato" w:eastAsia="Times New Roman" w:hAnsi="Lato" w:cs="Times New Roman"/>
          <w:color w:val="000000"/>
          <w:sz w:val="23"/>
          <w:szCs w:val="23"/>
          <w:u w:val="single"/>
          <w:lang w:eastAsia="fr-BE"/>
        </w:rPr>
        <w:t>nickel</w:t>
      </w:r>
      <w:r w:rsidRPr="00A10C7C">
        <w:rPr>
          <w:rFonts w:ascii="Lato" w:eastAsia="Times New Roman" w:hAnsi="Lato" w:cs="Times New Roman"/>
          <w:color w:val="000000"/>
          <w:sz w:val="23"/>
          <w:szCs w:val="23"/>
          <w:lang w:eastAsia="fr-BE"/>
        </w:rPr>
        <w:t>, les primes demeurent étales sur une semaine. Sur le marché des </w:t>
      </w:r>
      <w:r w:rsidRPr="00A10C7C">
        <w:rPr>
          <w:rFonts w:ascii="Lato" w:eastAsia="Times New Roman" w:hAnsi="Lato" w:cs="Times New Roman"/>
          <w:color w:val="000000"/>
          <w:sz w:val="23"/>
          <w:szCs w:val="23"/>
          <w:u w:val="single"/>
          <w:lang w:eastAsia="fr-BE"/>
        </w:rPr>
        <w:t>briquettes</w:t>
      </w:r>
      <w:r w:rsidRPr="00A10C7C">
        <w:rPr>
          <w:rFonts w:ascii="Lato" w:eastAsia="Times New Roman" w:hAnsi="Lato" w:cs="Times New Roman"/>
          <w:color w:val="000000"/>
          <w:sz w:val="23"/>
          <w:szCs w:val="23"/>
          <w:lang w:eastAsia="fr-BE"/>
        </w:rPr>
        <w:t>, des signes de reprise de la demande apparaissent avec des offres faites à la hausse, proches des 1.000 $/t. Mais aucune transaction n’a été finalisée à ce niveau. En conséquence, les primes demeurent à 500-850 $/t, départ entrepôts de </w:t>
      </w:r>
      <w:r w:rsidRPr="00A10C7C">
        <w:rPr>
          <w:rFonts w:ascii="Lato" w:eastAsia="Times New Roman" w:hAnsi="Lato" w:cs="Times New Roman"/>
          <w:b/>
          <w:bCs/>
          <w:color w:val="000000"/>
          <w:sz w:val="23"/>
          <w:szCs w:val="23"/>
          <w:lang w:eastAsia="fr-BE"/>
        </w:rPr>
        <w:t>Rotterdam</w:t>
      </w:r>
      <w:r w:rsidRPr="00A10C7C">
        <w:rPr>
          <w:rFonts w:ascii="Lato" w:eastAsia="Times New Roman" w:hAnsi="Lato" w:cs="Times New Roman"/>
          <w:color w:val="000000"/>
          <w:sz w:val="23"/>
          <w:szCs w:val="23"/>
          <w:lang w:eastAsia="fr-BE"/>
        </w:rPr>
        <w:t>. Les primes sur les </w:t>
      </w:r>
      <w:r w:rsidRPr="00A10C7C">
        <w:rPr>
          <w:rFonts w:ascii="Lato" w:eastAsia="Times New Roman" w:hAnsi="Lato" w:cs="Times New Roman"/>
          <w:color w:val="000000"/>
          <w:sz w:val="23"/>
          <w:szCs w:val="23"/>
          <w:u w:val="single"/>
          <w:lang w:eastAsia="fr-BE"/>
        </w:rPr>
        <w:t>cathodes coupées</w:t>
      </w:r>
      <w:r w:rsidRPr="00A10C7C">
        <w:rPr>
          <w:rFonts w:ascii="Lato" w:eastAsia="Times New Roman" w:hAnsi="Lato" w:cs="Times New Roman"/>
          <w:color w:val="000000"/>
          <w:sz w:val="23"/>
          <w:szCs w:val="23"/>
          <w:lang w:eastAsia="fr-BE"/>
        </w:rPr>
        <w:t> restent, elles aussi, inchangées, à 800-1.300 $/t. Celles sur les </w:t>
      </w:r>
      <w:r w:rsidRPr="00A10C7C">
        <w:rPr>
          <w:rFonts w:ascii="Lato" w:eastAsia="Times New Roman" w:hAnsi="Lato" w:cs="Times New Roman"/>
          <w:color w:val="000000"/>
          <w:sz w:val="23"/>
          <w:szCs w:val="23"/>
          <w:u w:val="single"/>
          <w:lang w:eastAsia="fr-BE"/>
        </w:rPr>
        <w:t>cathodes entières</w:t>
      </w:r>
      <w:r w:rsidRPr="00A10C7C">
        <w:rPr>
          <w:rFonts w:ascii="Lato" w:eastAsia="Times New Roman" w:hAnsi="Lato" w:cs="Times New Roman"/>
          <w:color w:val="000000"/>
          <w:sz w:val="23"/>
          <w:szCs w:val="23"/>
          <w:lang w:eastAsia="fr-BE"/>
        </w:rPr>
        <w:t> sont stables à 350-450 $/t.</w:t>
      </w:r>
    </w:p>
    <w:p w14:paraId="01BC2536" w14:textId="77777777" w:rsidR="00A10C7C" w:rsidRPr="00A10C7C" w:rsidRDefault="00A10C7C" w:rsidP="00A10C7C">
      <w:pPr>
        <w:shd w:val="clear" w:color="auto" w:fill="FFFFFF"/>
        <w:spacing w:before="75" w:after="75" w:line="240" w:lineRule="auto"/>
        <w:jc w:val="both"/>
        <w:rPr>
          <w:rFonts w:ascii="Lato" w:eastAsia="Times New Roman" w:hAnsi="Lato" w:cs="Times New Roman"/>
          <w:color w:val="000000"/>
          <w:sz w:val="23"/>
          <w:szCs w:val="23"/>
          <w:lang w:eastAsia="fr-BE"/>
        </w:rPr>
      </w:pPr>
      <w:r w:rsidRPr="00A10C7C">
        <w:rPr>
          <w:rFonts w:ascii="Lato" w:eastAsia="Times New Roman" w:hAnsi="Lato" w:cs="Times New Roman"/>
          <w:color w:val="000000"/>
          <w:sz w:val="23"/>
          <w:szCs w:val="23"/>
          <w:lang w:eastAsia="fr-BE"/>
        </w:rPr>
        <w:t> </w:t>
      </w:r>
    </w:p>
    <w:p w14:paraId="357D9E3B" w14:textId="77777777" w:rsidR="006227A9" w:rsidRDefault="006227A9"/>
    <w:sectPr w:rsidR="00622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7C"/>
    <w:rsid w:val="006227A9"/>
    <w:rsid w:val="00A10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9137"/>
  <w15:chartTrackingRefBased/>
  <w15:docId w15:val="{162BB883-2FC1-4B56-A726-0C4EE708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4875</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2023-01-10T07:30:00Z</dcterms:created>
  <dcterms:modified xsi:type="dcterms:W3CDTF">2023-01-10T07:30:00Z</dcterms:modified>
</cp:coreProperties>
</file>